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4B29" w14:textId="7F66A25C" w:rsidR="00833439" w:rsidRDefault="00833439" w:rsidP="00B160FA">
      <w:pPr>
        <w:spacing w:after="0" w:line="240" w:lineRule="auto"/>
        <w:rPr>
          <w:b/>
          <w:sz w:val="44"/>
          <w:szCs w:val="44"/>
        </w:rPr>
      </w:pPr>
    </w:p>
    <w:p w14:paraId="1F6FAD5E" w14:textId="25393B63" w:rsidR="00B160FA" w:rsidRDefault="00B160FA" w:rsidP="00B160FA">
      <w:pPr>
        <w:spacing w:after="0" w:line="240" w:lineRule="auto"/>
        <w:rPr>
          <w:b/>
          <w:sz w:val="44"/>
          <w:szCs w:val="44"/>
        </w:rPr>
      </w:pPr>
      <w:r>
        <w:rPr>
          <w:b/>
          <w:sz w:val="44"/>
          <w:szCs w:val="44"/>
        </w:rPr>
        <w:t xml:space="preserve">EX </w:t>
      </w:r>
      <w:r w:rsidR="008D1FBA">
        <w:rPr>
          <w:b/>
          <w:sz w:val="44"/>
          <w:szCs w:val="44"/>
        </w:rPr>
        <w:t>D</w:t>
      </w:r>
    </w:p>
    <w:p w14:paraId="246DCB28" w14:textId="77777777" w:rsidR="00B160FA" w:rsidRDefault="00B160FA" w:rsidP="00B160FA">
      <w:pPr>
        <w:spacing w:after="0" w:line="240" w:lineRule="auto"/>
        <w:rPr>
          <w:b/>
          <w:sz w:val="44"/>
          <w:szCs w:val="44"/>
        </w:rPr>
      </w:pPr>
    </w:p>
    <w:p w14:paraId="1A038C0E" w14:textId="77777777" w:rsidR="00F53620" w:rsidRDefault="00F53620" w:rsidP="00833439">
      <w:pPr>
        <w:spacing w:after="0" w:line="240" w:lineRule="auto"/>
        <w:jc w:val="center"/>
        <w:rPr>
          <w:b/>
          <w:sz w:val="44"/>
          <w:szCs w:val="44"/>
        </w:rPr>
      </w:pPr>
    </w:p>
    <w:p w14:paraId="2AE97003" w14:textId="77777777" w:rsidR="00833439" w:rsidRDefault="00833439" w:rsidP="00833439">
      <w:pPr>
        <w:spacing w:after="0" w:line="240" w:lineRule="auto"/>
        <w:jc w:val="center"/>
        <w:rPr>
          <w:b/>
          <w:sz w:val="44"/>
          <w:szCs w:val="44"/>
        </w:rPr>
      </w:pPr>
      <w:r w:rsidRPr="00833439">
        <w:rPr>
          <w:b/>
          <w:sz w:val="44"/>
          <w:szCs w:val="44"/>
        </w:rPr>
        <w:t>Sultana Disaster Museum</w:t>
      </w:r>
      <w:r>
        <w:rPr>
          <w:b/>
          <w:sz w:val="44"/>
          <w:szCs w:val="44"/>
        </w:rPr>
        <w:t>’s</w:t>
      </w:r>
      <w:r w:rsidRPr="00833439">
        <w:rPr>
          <w:b/>
          <w:sz w:val="44"/>
          <w:szCs w:val="44"/>
        </w:rPr>
        <w:t xml:space="preserve"> </w:t>
      </w:r>
    </w:p>
    <w:p w14:paraId="587AF057" w14:textId="77777777" w:rsidR="00833439" w:rsidRPr="00833439" w:rsidRDefault="00833439" w:rsidP="00833439">
      <w:pPr>
        <w:spacing w:after="0" w:line="240" w:lineRule="auto"/>
        <w:jc w:val="center"/>
        <w:rPr>
          <w:b/>
          <w:sz w:val="44"/>
          <w:szCs w:val="44"/>
        </w:rPr>
      </w:pPr>
      <w:r w:rsidRPr="00833439">
        <w:rPr>
          <w:b/>
          <w:sz w:val="44"/>
          <w:szCs w:val="44"/>
        </w:rPr>
        <w:t xml:space="preserve">Economic Contributions </w:t>
      </w:r>
      <w:r w:rsidR="00F96479">
        <w:rPr>
          <w:b/>
          <w:sz w:val="44"/>
          <w:szCs w:val="44"/>
        </w:rPr>
        <w:t xml:space="preserve">and Economic Impacts </w:t>
      </w:r>
    </w:p>
    <w:p w14:paraId="7F631DDB" w14:textId="6621ACA3" w:rsidR="00833439" w:rsidRDefault="00833439" w:rsidP="00833439">
      <w:pPr>
        <w:spacing w:after="0" w:line="240" w:lineRule="auto"/>
        <w:jc w:val="center"/>
        <w:rPr>
          <w:b/>
          <w:sz w:val="44"/>
          <w:szCs w:val="44"/>
        </w:rPr>
      </w:pPr>
      <w:r>
        <w:rPr>
          <w:b/>
          <w:sz w:val="44"/>
          <w:szCs w:val="44"/>
        </w:rPr>
        <w:t xml:space="preserve">To </w:t>
      </w:r>
      <w:r w:rsidR="00602B10">
        <w:rPr>
          <w:b/>
          <w:sz w:val="44"/>
          <w:szCs w:val="44"/>
        </w:rPr>
        <w:t xml:space="preserve">The Economy of </w:t>
      </w:r>
    </w:p>
    <w:p w14:paraId="1C437A43" w14:textId="3FCF1798" w:rsidR="00833439" w:rsidRDefault="00833439" w:rsidP="00602B10">
      <w:pPr>
        <w:spacing w:after="0" w:line="240" w:lineRule="auto"/>
        <w:jc w:val="center"/>
        <w:rPr>
          <w:rFonts w:cstheme="minorHAnsi"/>
          <w:b/>
          <w:sz w:val="28"/>
          <w:szCs w:val="28"/>
        </w:rPr>
      </w:pPr>
      <w:r w:rsidRPr="00833439">
        <w:rPr>
          <w:b/>
          <w:sz w:val="44"/>
          <w:szCs w:val="44"/>
        </w:rPr>
        <w:t xml:space="preserve">Arkansas </w:t>
      </w:r>
    </w:p>
    <w:p w14:paraId="63B618E1" w14:textId="77777777" w:rsidR="00833439" w:rsidRDefault="00833439" w:rsidP="00833439">
      <w:pPr>
        <w:spacing w:after="0" w:line="240" w:lineRule="auto"/>
        <w:rPr>
          <w:rFonts w:cstheme="minorHAnsi"/>
          <w:b/>
          <w:sz w:val="28"/>
          <w:szCs w:val="28"/>
        </w:rPr>
      </w:pPr>
    </w:p>
    <w:p w14:paraId="5BE566F3" w14:textId="77777777" w:rsidR="00833439" w:rsidRDefault="00833439" w:rsidP="00833439">
      <w:pPr>
        <w:spacing w:after="0" w:line="240" w:lineRule="auto"/>
        <w:rPr>
          <w:rFonts w:cstheme="minorHAnsi"/>
          <w:b/>
          <w:sz w:val="28"/>
          <w:szCs w:val="28"/>
        </w:rPr>
      </w:pPr>
    </w:p>
    <w:p w14:paraId="0AAB51BF" w14:textId="77777777" w:rsidR="00833439" w:rsidRDefault="00833439" w:rsidP="00833439">
      <w:pPr>
        <w:spacing w:after="0" w:line="240" w:lineRule="auto"/>
        <w:rPr>
          <w:rFonts w:cstheme="minorHAnsi"/>
          <w:b/>
          <w:sz w:val="28"/>
          <w:szCs w:val="28"/>
        </w:rPr>
      </w:pPr>
    </w:p>
    <w:p w14:paraId="696BBB37" w14:textId="77777777" w:rsidR="00833439" w:rsidRDefault="00833439" w:rsidP="00833439">
      <w:pPr>
        <w:spacing w:after="0" w:line="240" w:lineRule="auto"/>
        <w:rPr>
          <w:rFonts w:cstheme="minorHAnsi"/>
          <w:b/>
          <w:sz w:val="28"/>
          <w:szCs w:val="28"/>
        </w:rPr>
      </w:pPr>
    </w:p>
    <w:p w14:paraId="64FA1AF9" w14:textId="77777777" w:rsidR="00833439" w:rsidRDefault="00833439" w:rsidP="00833439">
      <w:pPr>
        <w:spacing w:after="0" w:line="240" w:lineRule="auto"/>
        <w:rPr>
          <w:rFonts w:cstheme="minorHAnsi"/>
          <w:b/>
          <w:sz w:val="28"/>
          <w:szCs w:val="28"/>
        </w:rPr>
      </w:pPr>
    </w:p>
    <w:p w14:paraId="69E9B52C" w14:textId="77777777" w:rsidR="00833439" w:rsidRDefault="00833439" w:rsidP="00833439">
      <w:pPr>
        <w:spacing w:after="0" w:line="240" w:lineRule="auto"/>
        <w:rPr>
          <w:rFonts w:cstheme="minorHAnsi"/>
          <w:b/>
          <w:sz w:val="28"/>
          <w:szCs w:val="28"/>
        </w:rPr>
      </w:pPr>
    </w:p>
    <w:p w14:paraId="45D83658" w14:textId="77777777" w:rsidR="00833439" w:rsidRDefault="00833439" w:rsidP="00833439">
      <w:pPr>
        <w:spacing w:after="0" w:line="240" w:lineRule="auto"/>
        <w:rPr>
          <w:rFonts w:cstheme="minorHAnsi"/>
          <w:b/>
          <w:sz w:val="28"/>
          <w:szCs w:val="28"/>
        </w:rPr>
      </w:pPr>
    </w:p>
    <w:p w14:paraId="12A9B440" w14:textId="77777777" w:rsidR="00833439" w:rsidRDefault="00833439" w:rsidP="00833439">
      <w:pPr>
        <w:spacing w:after="0" w:line="240" w:lineRule="auto"/>
        <w:rPr>
          <w:rFonts w:cstheme="minorHAnsi"/>
          <w:b/>
          <w:sz w:val="28"/>
          <w:szCs w:val="28"/>
        </w:rPr>
      </w:pPr>
    </w:p>
    <w:p w14:paraId="1374AC68" w14:textId="77777777" w:rsidR="00833439" w:rsidRDefault="00833439" w:rsidP="00833439">
      <w:pPr>
        <w:spacing w:after="0" w:line="240" w:lineRule="auto"/>
        <w:rPr>
          <w:rFonts w:cstheme="minorHAnsi"/>
          <w:b/>
          <w:sz w:val="28"/>
          <w:szCs w:val="28"/>
        </w:rPr>
      </w:pPr>
    </w:p>
    <w:p w14:paraId="7E06CB3F" w14:textId="77777777" w:rsidR="00833439" w:rsidRDefault="00833439" w:rsidP="00833439">
      <w:pPr>
        <w:spacing w:after="0" w:line="240" w:lineRule="auto"/>
        <w:rPr>
          <w:rFonts w:cstheme="minorHAnsi"/>
          <w:b/>
          <w:sz w:val="28"/>
          <w:szCs w:val="28"/>
        </w:rPr>
      </w:pPr>
    </w:p>
    <w:p w14:paraId="65B03C4D" w14:textId="77777777" w:rsidR="00833439" w:rsidRDefault="00833439" w:rsidP="00833439">
      <w:pPr>
        <w:spacing w:after="0" w:line="240" w:lineRule="auto"/>
        <w:rPr>
          <w:rFonts w:cstheme="minorHAnsi"/>
          <w:b/>
          <w:sz w:val="28"/>
          <w:szCs w:val="28"/>
        </w:rPr>
      </w:pPr>
    </w:p>
    <w:p w14:paraId="35063F19" w14:textId="77777777" w:rsidR="00833439" w:rsidRDefault="00833439" w:rsidP="00833439">
      <w:pPr>
        <w:spacing w:after="0" w:line="240" w:lineRule="auto"/>
        <w:rPr>
          <w:rFonts w:cstheme="minorHAnsi"/>
          <w:b/>
          <w:sz w:val="28"/>
          <w:szCs w:val="28"/>
        </w:rPr>
      </w:pPr>
    </w:p>
    <w:p w14:paraId="4BAF75DA" w14:textId="77777777" w:rsidR="00833439" w:rsidRPr="00833439" w:rsidRDefault="00833439" w:rsidP="00833439">
      <w:pPr>
        <w:spacing w:after="0" w:line="240" w:lineRule="auto"/>
        <w:jc w:val="right"/>
        <w:rPr>
          <w:rFonts w:cstheme="minorHAnsi"/>
          <w:b/>
          <w:sz w:val="28"/>
          <w:szCs w:val="28"/>
        </w:rPr>
      </w:pPr>
      <w:r w:rsidRPr="00833439">
        <w:rPr>
          <w:rFonts w:cstheme="minorHAnsi"/>
          <w:b/>
          <w:sz w:val="28"/>
          <w:szCs w:val="28"/>
        </w:rPr>
        <w:t xml:space="preserve">By </w:t>
      </w:r>
    </w:p>
    <w:p w14:paraId="254908E2" w14:textId="77777777" w:rsidR="00833439" w:rsidRPr="00833439" w:rsidRDefault="00833439" w:rsidP="00833439">
      <w:pPr>
        <w:spacing w:after="0" w:line="240" w:lineRule="auto"/>
        <w:jc w:val="right"/>
        <w:rPr>
          <w:rFonts w:cstheme="minorHAnsi"/>
          <w:b/>
          <w:sz w:val="28"/>
          <w:szCs w:val="28"/>
        </w:rPr>
      </w:pPr>
      <w:r w:rsidRPr="00833439">
        <w:rPr>
          <w:rFonts w:cstheme="minorHAnsi"/>
          <w:b/>
          <w:sz w:val="28"/>
          <w:szCs w:val="28"/>
        </w:rPr>
        <w:t xml:space="preserve"> </w:t>
      </w:r>
    </w:p>
    <w:p w14:paraId="7DE69406" w14:textId="77777777" w:rsidR="00833439" w:rsidRPr="00833439" w:rsidRDefault="00833439" w:rsidP="00833439">
      <w:pPr>
        <w:spacing w:after="0" w:line="240" w:lineRule="auto"/>
        <w:jc w:val="right"/>
        <w:rPr>
          <w:rFonts w:cstheme="minorHAnsi"/>
          <w:b/>
          <w:sz w:val="28"/>
          <w:szCs w:val="28"/>
        </w:rPr>
      </w:pPr>
      <w:r w:rsidRPr="00833439">
        <w:rPr>
          <w:rFonts w:cstheme="minorHAnsi"/>
          <w:b/>
          <w:sz w:val="28"/>
          <w:szCs w:val="28"/>
        </w:rPr>
        <w:t xml:space="preserve">Gregory L. Hamilton, Ph.D. </w:t>
      </w:r>
    </w:p>
    <w:p w14:paraId="11C9A6CA" w14:textId="77777777" w:rsidR="00833439" w:rsidRPr="00833439" w:rsidRDefault="00833439" w:rsidP="00833439">
      <w:pPr>
        <w:spacing w:after="0" w:line="240" w:lineRule="auto"/>
        <w:jc w:val="right"/>
        <w:rPr>
          <w:rFonts w:cstheme="minorHAnsi"/>
          <w:b/>
          <w:sz w:val="28"/>
          <w:szCs w:val="28"/>
        </w:rPr>
      </w:pPr>
      <w:r w:rsidRPr="00833439">
        <w:rPr>
          <w:rFonts w:cstheme="minorHAnsi"/>
          <w:b/>
          <w:sz w:val="28"/>
          <w:szCs w:val="28"/>
        </w:rPr>
        <w:t xml:space="preserve">Senior Research Economist </w:t>
      </w:r>
    </w:p>
    <w:p w14:paraId="0010498F" w14:textId="77777777" w:rsidR="00480BFF" w:rsidRDefault="00480BFF" w:rsidP="00833439">
      <w:pPr>
        <w:spacing w:after="0" w:line="240" w:lineRule="auto"/>
        <w:jc w:val="right"/>
        <w:rPr>
          <w:rFonts w:cstheme="minorHAnsi"/>
          <w:b/>
          <w:sz w:val="28"/>
          <w:szCs w:val="28"/>
        </w:rPr>
      </w:pPr>
    </w:p>
    <w:p w14:paraId="0BE2B2F1" w14:textId="77777777" w:rsidR="00833439" w:rsidRPr="00833439" w:rsidRDefault="00833439" w:rsidP="00833439">
      <w:pPr>
        <w:spacing w:after="0" w:line="240" w:lineRule="auto"/>
        <w:jc w:val="right"/>
        <w:rPr>
          <w:rFonts w:cstheme="minorHAnsi"/>
          <w:b/>
          <w:sz w:val="28"/>
          <w:szCs w:val="28"/>
        </w:rPr>
      </w:pPr>
      <w:r w:rsidRPr="00833439">
        <w:rPr>
          <w:rFonts w:cstheme="minorHAnsi"/>
          <w:b/>
          <w:sz w:val="28"/>
          <w:szCs w:val="28"/>
        </w:rPr>
        <w:t xml:space="preserve">Arkansas Economic Development Institute </w:t>
      </w:r>
    </w:p>
    <w:p w14:paraId="12F77FAD" w14:textId="77777777" w:rsidR="00480BFF" w:rsidRDefault="00833439" w:rsidP="00480BFF">
      <w:pPr>
        <w:spacing w:after="0" w:line="240" w:lineRule="auto"/>
        <w:jc w:val="right"/>
        <w:rPr>
          <w:rFonts w:cstheme="minorHAnsi"/>
          <w:b/>
          <w:sz w:val="28"/>
          <w:szCs w:val="28"/>
        </w:rPr>
      </w:pPr>
      <w:r w:rsidRPr="00833439">
        <w:rPr>
          <w:rFonts w:cstheme="minorHAnsi"/>
          <w:b/>
          <w:sz w:val="28"/>
          <w:szCs w:val="28"/>
        </w:rPr>
        <w:t>University of Arkansas at Little Rock</w:t>
      </w:r>
      <w:r w:rsidR="00480BFF" w:rsidRPr="00480BFF">
        <w:rPr>
          <w:rFonts w:cstheme="minorHAnsi"/>
          <w:b/>
          <w:sz w:val="28"/>
          <w:szCs w:val="28"/>
        </w:rPr>
        <w:t xml:space="preserve"> </w:t>
      </w:r>
    </w:p>
    <w:p w14:paraId="3BE9D2DA" w14:textId="77777777" w:rsidR="00480BFF" w:rsidRPr="00833439" w:rsidRDefault="00480BFF" w:rsidP="00480BFF">
      <w:pPr>
        <w:spacing w:after="0" w:line="240" w:lineRule="auto"/>
        <w:jc w:val="right"/>
        <w:rPr>
          <w:rFonts w:cstheme="minorHAnsi"/>
          <w:b/>
          <w:sz w:val="28"/>
          <w:szCs w:val="28"/>
        </w:rPr>
      </w:pPr>
      <w:r w:rsidRPr="00833439">
        <w:rPr>
          <w:rFonts w:cstheme="minorHAnsi"/>
          <w:b/>
          <w:sz w:val="28"/>
          <w:szCs w:val="28"/>
        </w:rPr>
        <w:t>Retired</w:t>
      </w:r>
    </w:p>
    <w:p w14:paraId="144AD606" w14:textId="77777777" w:rsidR="00833439" w:rsidRPr="00833439" w:rsidRDefault="00833439" w:rsidP="00833439">
      <w:pPr>
        <w:spacing w:after="0" w:line="240" w:lineRule="auto"/>
        <w:jc w:val="right"/>
        <w:rPr>
          <w:rFonts w:cstheme="minorHAnsi"/>
          <w:b/>
          <w:sz w:val="28"/>
          <w:szCs w:val="28"/>
        </w:rPr>
      </w:pPr>
    </w:p>
    <w:p w14:paraId="160169DE" w14:textId="77777777" w:rsidR="00833439" w:rsidRPr="00833439" w:rsidRDefault="00833439" w:rsidP="00833439">
      <w:pPr>
        <w:spacing w:after="0" w:line="240" w:lineRule="auto"/>
        <w:jc w:val="right"/>
        <w:rPr>
          <w:rFonts w:cstheme="minorHAnsi"/>
          <w:b/>
          <w:sz w:val="28"/>
          <w:szCs w:val="28"/>
        </w:rPr>
      </w:pPr>
    </w:p>
    <w:p w14:paraId="4F471A47" w14:textId="5D7285FC" w:rsidR="00833439" w:rsidRPr="00833439" w:rsidRDefault="00CF769E" w:rsidP="00833439">
      <w:pPr>
        <w:spacing w:after="0" w:line="240" w:lineRule="auto"/>
        <w:jc w:val="right"/>
        <w:rPr>
          <w:rFonts w:cstheme="minorHAnsi"/>
          <w:b/>
          <w:sz w:val="28"/>
          <w:szCs w:val="28"/>
        </w:rPr>
      </w:pPr>
      <w:r w:rsidRPr="00833439">
        <w:rPr>
          <w:rFonts w:cstheme="minorHAnsi"/>
          <w:b/>
          <w:sz w:val="28"/>
          <w:szCs w:val="28"/>
        </w:rPr>
        <w:t>January</w:t>
      </w:r>
      <w:r w:rsidR="00590DD7">
        <w:rPr>
          <w:rFonts w:cstheme="minorHAnsi"/>
          <w:b/>
          <w:sz w:val="28"/>
          <w:szCs w:val="28"/>
        </w:rPr>
        <w:t xml:space="preserve"> 2</w:t>
      </w:r>
      <w:r w:rsidR="00AB021A">
        <w:rPr>
          <w:rFonts w:cstheme="minorHAnsi"/>
          <w:b/>
          <w:sz w:val="28"/>
          <w:szCs w:val="28"/>
        </w:rPr>
        <w:t>2</w:t>
      </w:r>
      <w:r w:rsidRPr="00833439">
        <w:rPr>
          <w:rFonts w:cstheme="minorHAnsi"/>
          <w:b/>
          <w:sz w:val="28"/>
          <w:szCs w:val="28"/>
        </w:rPr>
        <w:t>,</w:t>
      </w:r>
      <w:r w:rsidR="00833439" w:rsidRPr="00833439">
        <w:rPr>
          <w:rFonts w:cstheme="minorHAnsi"/>
          <w:b/>
          <w:sz w:val="28"/>
          <w:szCs w:val="28"/>
        </w:rPr>
        <w:t xml:space="preserve"> 2021</w:t>
      </w:r>
    </w:p>
    <w:p w14:paraId="75C7EB35" w14:textId="77777777" w:rsidR="00833439" w:rsidRDefault="00833439" w:rsidP="00833439">
      <w:pPr>
        <w:spacing w:after="0" w:line="240" w:lineRule="auto"/>
        <w:rPr>
          <w:rFonts w:cstheme="minorHAnsi"/>
          <w:b/>
          <w:sz w:val="28"/>
          <w:szCs w:val="28"/>
        </w:rPr>
      </w:pPr>
    </w:p>
    <w:p w14:paraId="11975328" w14:textId="77777777" w:rsidR="00306D04" w:rsidRDefault="00306D04" w:rsidP="00833439">
      <w:pPr>
        <w:spacing w:after="0" w:line="240" w:lineRule="auto"/>
        <w:rPr>
          <w:rFonts w:cstheme="minorHAnsi"/>
          <w:b/>
          <w:sz w:val="28"/>
          <w:szCs w:val="28"/>
        </w:rPr>
      </w:pPr>
    </w:p>
    <w:p w14:paraId="09DC0C28" w14:textId="77777777" w:rsidR="001D029C" w:rsidRDefault="001D029C" w:rsidP="00833439">
      <w:pPr>
        <w:spacing w:after="0" w:line="240" w:lineRule="auto"/>
        <w:rPr>
          <w:rFonts w:cstheme="minorHAnsi"/>
          <w:b/>
          <w:sz w:val="28"/>
          <w:szCs w:val="28"/>
        </w:rPr>
      </w:pPr>
    </w:p>
    <w:p w14:paraId="755DE598" w14:textId="77777777" w:rsidR="00306D04" w:rsidRPr="00833439" w:rsidRDefault="00306D04" w:rsidP="00833439">
      <w:pPr>
        <w:spacing w:after="0" w:line="240" w:lineRule="auto"/>
        <w:rPr>
          <w:rFonts w:cstheme="minorHAnsi"/>
          <w:b/>
          <w:sz w:val="28"/>
          <w:szCs w:val="28"/>
        </w:rPr>
      </w:pPr>
    </w:p>
    <w:p w14:paraId="1C58F6DC" w14:textId="30AF9AF7" w:rsidR="00AB021A" w:rsidRPr="00306D04" w:rsidRDefault="00AB021A" w:rsidP="00AB021A">
      <w:pPr>
        <w:spacing w:after="0" w:line="240" w:lineRule="auto"/>
        <w:ind w:left="360"/>
        <w:jc w:val="center"/>
        <w:rPr>
          <w:b/>
          <w:sz w:val="32"/>
          <w:szCs w:val="32"/>
        </w:rPr>
      </w:pPr>
      <w:r w:rsidRPr="00306D04">
        <w:rPr>
          <w:b/>
          <w:sz w:val="32"/>
          <w:szCs w:val="32"/>
        </w:rPr>
        <w:t>Sultana Disaster Museum</w:t>
      </w:r>
    </w:p>
    <w:p w14:paraId="1C0318D6" w14:textId="77777777" w:rsidR="00AB021A" w:rsidRPr="00E91EB0" w:rsidRDefault="00AB021A" w:rsidP="00AB021A">
      <w:pPr>
        <w:spacing w:after="0" w:line="240" w:lineRule="auto"/>
        <w:ind w:left="360"/>
        <w:jc w:val="center"/>
        <w:rPr>
          <w:b/>
          <w:sz w:val="16"/>
          <w:szCs w:val="16"/>
        </w:rPr>
      </w:pPr>
      <w:r w:rsidRPr="00306D04">
        <w:rPr>
          <w:b/>
          <w:sz w:val="32"/>
          <w:szCs w:val="32"/>
        </w:rPr>
        <w:t xml:space="preserve">Economic Consequences to the Economy of Arkansas </w:t>
      </w:r>
    </w:p>
    <w:p w14:paraId="32E91D98" w14:textId="77777777" w:rsidR="00F53620" w:rsidRPr="00E91EB0" w:rsidRDefault="00F53620" w:rsidP="00AB021A">
      <w:pPr>
        <w:pStyle w:val="ListParagraph"/>
        <w:ind w:left="0"/>
        <w:rPr>
          <w:sz w:val="16"/>
          <w:szCs w:val="16"/>
        </w:rPr>
      </w:pPr>
    </w:p>
    <w:p w14:paraId="71C3F611" w14:textId="77777777" w:rsidR="00E91EB0" w:rsidRDefault="00E91EB0" w:rsidP="00E91EB0">
      <w:pPr>
        <w:spacing w:after="0" w:line="240" w:lineRule="auto"/>
      </w:pPr>
      <w:r>
        <w:t>The contribution analysis of 50,000 hypothetical visitors found that their spending in Crittenden County would approach $3.39 million.  This would create $6.9 million in economic activity in Arkansas, adding</w:t>
      </w:r>
      <w:r w:rsidRPr="00535860">
        <w:t xml:space="preserve"> </w:t>
      </w:r>
      <w:r>
        <w:t>$3.5 million to the state’s gross domestic product, generate $2.3 million of wage and salary incomes, and support 88.5 full time jobs.</w:t>
      </w:r>
    </w:p>
    <w:p w14:paraId="05E65E80" w14:textId="77777777" w:rsidR="00E91EB0" w:rsidRPr="00E91EB0" w:rsidRDefault="00E91EB0" w:rsidP="00AB021A">
      <w:pPr>
        <w:pStyle w:val="ListParagraph"/>
        <w:ind w:left="0"/>
        <w:rPr>
          <w:sz w:val="16"/>
          <w:szCs w:val="16"/>
        </w:rPr>
      </w:pPr>
    </w:p>
    <w:p w14:paraId="7CC452FB" w14:textId="3E0CA36D" w:rsidR="00AB021A" w:rsidRPr="00306D04" w:rsidRDefault="00AB021A" w:rsidP="00AB021A">
      <w:pPr>
        <w:pStyle w:val="ListParagraph"/>
        <w:ind w:left="0"/>
        <w:rPr>
          <w:sz w:val="32"/>
          <w:szCs w:val="32"/>
        </w:rPr>
      </w:pPr>
      <w:r>
        <w:rPr>
          <w:sz w:val="32"/>
          <w:szCs w:val="32"/>
        </w:rPr>
        <w:t>I.</w:t>
      </w:r>
      <w:r>
        <w:rPr>
          <w:sz w:val="32"/>
          <w:szCs w:val="32"/>
        </w:rPr>
        <w:tab/>
      </w:r>
      <w:r w:rsidRPr="00306D04">
        <w:rPr>
          <w:sz w:val="32"/>
          <w:szCs w:val="32"/>
        </w:rPr>
        <w:t>Visitor Count by Classification</w:t>
      </w:r>
    </w:p>
    <w:p w14:paraId="656BB9F2" w14:textId="77777777" w:rsidR="00AB021A" w:rsidRDefault="00AB021A" w:rsidP="00AB021A">
      <w:pPr>
        <w:pStyle w:val="ListParagraph"/>
        <w:ind w:left="0"/>
        <w:jc w:val="center"/>
        <w:rPr>
          <w:rFonts w:cstheme="minorHAnsi"/>
          <w:b/>
          <w:sz w:val="28"/>
          <w:szCs w:val="28"/>
        </w:rPr>
      </w:pPr>
      <w:r w:rsidRPr="00664A94">
        <w:rPr>
          <w:noProof/>
        </w:rPr>
        <w:drawing>
          <wp:inline distT="0" distB="0" distL="0" distR="0" wp14:anchorId="147552F9" wp14:editId="73FCDCB1">
            <wp:extent cx="5000625" cy="137541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375410"/>
                    </a:xfrm>
                    <a:prstGeom prst="rect">
                      <a:avLst/>
                    </a:prstGeom>
                    <a:noFill/>
                    <a:ln>
                      <a:noFill/>
                    </a:ln>
                  </pic:spPr>
                </pic:pic>
              </a:graphicData>
            </a:graphic>
          </wp:inline>
        </w:drawing>
      </w:r>
    </w:p>
    <w:p w14:paraId="08D34779" w14:textId="70C97046" w:rsidR="00AB021A" w:rsidRPr="00E91EB0" w:rsidRDefault="00AB021A" w:rsidP="00AB021A">
      <w:pPr>
        <w:pStyle w:val="ListParagraph"/>
        <w:ind w:left="0"/>
        <w:jc w:val="center"/>
        <w:rPr>
          <w:rFonts w:cstheme="minorHAnsi"/>
          <w:b/>
          <w:sz w:val="16"/>
          <w:szCs w:val="16"/>
        </w:rPr>
      </w:pPr>
    </w:p>
    <w:p w14:paraId="415CFC55" w14:textId="77777777" w:rsidR="00AB021A" w:rsidRDefault="00AB021A" w:rsidP="00AB021A">
      <w:pPr>
        <w:pStyle w:val="ListParagraph"/>
        <w:ind w:left="0"/>
        <w:rPr>
          <w:sz w:val="32"/>
          <w:szCs w:val="32"/>
        </w:rPr>
      </w:pPr>
      <w:r>
        <w:rPr>
          <w:sz w:val="32"/>
          <w:szCs w:val="32"/>
        </w:rPr>
        <w:t>II.</w:t>
      </w:r>
      <w:r>
        <w:rPr>
          <w:sz w:val="32"/>
          <w:szCs w:val="32"/>
        </w:rPr>
        <w:tab/>
      </w:r>
      <w:r w:rsidRPr="00777D91">
        <w:rPr>
          <w:sz w:val="32"/>
          <w:szCs w:val="32"/>
        </w:rPr>
        <w:t>Anticipated Expenditures by 50,000 Visitors</w:t>
      </w:r>
    </w:p>
    <w:p w14:paraId="2F739BE2" w14:textId="2BF6D243" w:rsidR="00E91EB0" w:rsidRDefault="00AB021A" w:rsidP="00E91EB0">
      <w:pPr>
        <w:pStyle w:val="ListParagraph"/>
        <w:ind w:left="0"/>
        <w:jc w:val="center"/>
      </w:pPr>
      <w:r w:rsidRPr="000F4C09">
        <w:rPr>
          <w:noProof/>
        </w:rPr>
        <w:lastRenderedPageBreak/>
        <w:drawing>
          <wp:inline distT="0" distB="0" distL="0" distR="0" wp14:anchorId="63E05B3E" wp14:editId="311949D8">
            <wp:extent cx="4781550" cy="469644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6671" cy="4711294"/>
                    </a:xfrm>
                    <a:prstGeom prst="rect">
                      <a:avLst/>
                    </a:prstGeom>
                    <a:noFill/>
                    <a:ln>
                      <a:noFill/>
                    </a:ln>
                  </pic:spPr>
                </pic:pic>
              </a:graphicData>
            </a:graphic>
          </wp:inline>
        </w:drawing>
      </w:r>
    </w:p>
    <w:p w14:paraId="46FC2007" w14:textId="50D1CA49" w:rsidR="00AB021A" w:rsidRPr="00306D04" w:rsidRDefault="00E91EB0" w:rsidP="00E91EB0">
      <w:pPr>
        <w:rPr>
          <w:sz w:val="32"/>
          <w:szCs w:val="32"/>
        </w:rPr>
      </w:pPr>
      <w:r>
        <w:br w:type="page"/>
      </w:r>
      <w:r w:rsidR="00AB021A">
        <w:rPr>
          <w:sz w:val="32"/>
          <w:szCs w:val="32"/>
        </w:rPr>
        <w:lastRenderedPageBreak/>
        <w:t>III.</w:t>
      </w:r>
      <w:r w:rsidR="00AB021A">
        <w:rPr>
          <w:sz w:val="32"/>
          <w:szCs w:val="32"/>
        </w:rPr>
        <w:tab/>
      </w:r>
      <w:r w:rsidR="00AB021A" w:rsidRPr="00306D04">
        <w:rPr>
          <w:sz w:val="32"/>
          <w:szCs w:val="32"/>
        </w:rPr>
        <w:t xml:space="preserve">Economic Contribution to the Arkansas Economy </w:t>
      </w:r>
      <w:r w:rsidR="00AB021A">
        <w:rPr>
          <w:sz w:val="32"/>
          <w:szCs w:val="32"/>
        </w:rPr>
        <w:t xml:space="preserve">of </w:t>
      </w:r>
      <w:r w:rsidR="00AB021A" w:rsidRPr="00306D04">
        <w:rPr>
          <w:sz w:val="32"/>
          <w:szCs w:val="32"/>
        </w:rPr>
        <w:t>50,000</w:t>
      </w:r>
      <w:r w:rsidR="00AB021A">
        <w:rPr>
          <w:sz w:val="32"/>
          <w:szCs w:val="32"/>
        </w:rPr>
        <w:br/>
        <w:t xml:space="preserve"> </w:t>
      </w:r>
      <w:r w:rsidR="00AB021A">
        <w:rPr>
          <w:sz w:val="32"/>
          <w:szCs w:val="32"/>
        </w:rPr>
        <w:tab/>
        <w:t xml:space="preserve"> </w:t>
      </w:r>
      <w:r w:rsidR="00AB021A" w:rsidRPr="00306D04">
        <w:rPr>
          <w:sz w:val="32"/>
          <w:szCs w:val="32"/>
        </w:rPr>
        <w:t>Visitors to Sultana Disaster Museum (Hypothetical)</w:t>
      </w:r>
    </w:p>
    <w:p w14:paraId="5165797E" w14:textId="77777777" w:rsidR="00AB021A" w:rsidRDefault="00AB021A" w:rsidP="00AB021A">
      <w:pPr>
        <w:pStyle w:val="ListParagraph"/>
        <w:ind w:left="1080"/>
      </w:pPr>
    </w:p>
    <w:p w14:paraId="489044A0" w14:textId="77777777" w:rsidR="00AB021A" w:rsidRDefault="00AB021A" w:rsidP="00AB021A">
      <w:pPr>
        <w:pStyle w:val="ListParagraph"/>
        <w:ind w:left="0"/>
        <w:jc w:val="center"/>
      </w:pPr>
      <w:r w:rsidRPr="00351E69">
        <w:rPr>
          <w:noProof/>
        </w:rPr>
        <w:drawing>
          <wp:inline distT="0" distB="0" distL="0" distR="0" wp14:anchorId="2677BF3E" wp14:editId="5AF061D2">
            <wp:extent cx="5943600" cy="29044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04403"/>
                    </a:xfrm>
                    <a:prstGeom prst="rect">
                      <a:avLst/>
                    </a:prstGeom>
                    <a:noFill/>
                    <a:ln>
                      <a:noFill/>
                    </a:ln>
                  </pic:spPr>
                </pic:pic>
              </a:graphicData>
            </a:graphic>
          </wp:inline>
        </w:drawing>
      </w:r>
    </w:p>
    <w:p w14:paraId="362F68F8" w14:textId="77777777" w:rsidR="00251FE2" w:rsidRDefault="00251FE2" w:rsidP="00251FE2">
      <w:pPr>
        <w:spacing w:after="0" w:line="240" w:lineRule="auto"/>
      </w:pPr>
    </w:p>
    <w:p w14:paraId="0D9267D2" w14:textId="5CF27BE0" w:rsidR="000441A8" w:rsidRDefault="00251FE2" w:rsidP="00251FE2">
      <w:pPr>
        <w:spacing w:after="0" w:line="240" w:lineRule="auto"/>
      </w:pPr>
      <w:r>
        <w:t>The contribution analysis of 50,000 hypothetical visitors found that their spending in Crittenden County would approach $3.39 million. This would create $6.9 million in economic activity in Arkansas, adding $3.5 million to the state’s gross domestic product, generate $2.3 million of wage and salary incomes, and support 88.5 full time jobs.</w:t>
      </w:r>
    </w:p>
    <w:p w14:paraId="5D872048" w14:textId="77777777" w:rsidR="000441A8" w:rsidRDefault="000441A8">
      <w:r>
        <w:br w:type="page"/>
      </w:r>
    </w:p>
    <w:p w14:paraId="44901B61" w14:textId="318A8ECD" w:rsidR="00251FE2" w:rsidRPr="00306D04" w:rsidRDefault="00251FE2" w:rsidP="00251FE2">
      <w:pPr>
        <w:pStyle w:val="ListParagraph"/>
        <w:ind w:left="0"/>
        <w:rPr>
          <w:sz w:val="32"/>
          <w:szCs w:val="32"/>
        </w:rPr>
      </w:pPr>
      <w:r>
        <w:rPr>
          <w:sz w:val="32"/>
          <w:szCs w:val="32"/>
        </w:rPr>
        <w:lastRenderedPageBreak/>
        <w:t>IV.</w:t>
      </w:r>
      <w:r>
        <w:rPr>
          <w:sz w:val="32"/>
          <w:szCs w:val="32"/>
        </w:rPr>
        <w:tab/>
        <w:t>Classification of Visitors by Type: Summary</w:t>
      </w:r>
    </w:p>
    <w:p w14:paraId="124C4ED3" w14:textId="69977F84" w:rsidR="00A90FCC" w:rsidRDefault="00251FE2" w:rsidP="00833439">
      <w:pPr>
        <w:spacing w:after="0" w:line="240" w:lineRule="auto"/>
        <w:rPr>
          <w:rFonts w:cstheme="minorHAnsi"/>
          <w:b/>
          <w:sz w:val="28"/>
          <w:szCs w:val="28"/>
        </w:rPr>
      </w:pPr>
      <w:r w:rsidRPr="000936AC">
        <w:rPr>
          <w:noProof/>
        </w:rPr>
        <w:drawing>
          <wp:inline distT="0" distB="0" distL="0" distR="0" wp14:anchorId="74A08717" wp14:editId="0BA7172F">
            <wp:extent cx="5943600" cy="12541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54125"/>
                    </a:xfrm>
                    <a:prstGeom prst="rect">
                      <a:avLst/>
                    </a:prstGeom>
                    <a:noFill/>
                    <a:ln>
                      <a:noFill/>
                    </a:ln>
                  </pic:spPr>
                </pic:pic>
              </a:graphicData>
            </a:graphic>
          </wp:inline>
        </w:drawing>
      </w:r>
    </w:p>
    <w:p w14:paraId="1478A07D" w14:textId="77777777" w:rsidR="00A90FCC" w:rsidRDefault="00A90FCC" w:rsidP="00833439">
      <w:pPr>
        <w:spacing w:after="0" w:line="240" w:lineRule="auto"/>
        <w:rPr>
          <w:rFonts w:cstheme="minorHAnsi"/>
          <w:b/>
          <w:sz w:val="28"/>
          <w:szCs w:val="28"/>
        </w:rPr>
      </w:pPr>
    </w:p>
    <w:p w14:paraId="14551572" w14:textId="098EF753" w:rsidR="00251FE2" w:rsidRDefault="00251FE2" w:rsidP="00251FE2">
      <w:r>
        <w:t>The existing Sultana Disaster Museum opened in April 2015. The 1</w:t>
      </w:r>
      <w:r w:rsidR="008072BC">
        <w:t>,</w:t>
      </w:r>
      <w:r>
        <w:t xml:space="preserve">200 square foot museum is located adjacent to the Crittenden County Courthouse. The museum is open to visitors approximately 14 hours per week.   </w:t>
      </w:r>
    </w:p>
    <w:p w14:paraId="4A6BA422" w14:textId="51A2D93B" w:rsidR="00251FE2" w:rsidRDefault="00251FE2" w:rsidP="00251FE2"/>
    <w:p w14:paraId="5D2C6BDF" w14:textId="631BA1D5" w:rsidR="00694F5F" w:rsidRDefault="00251FE2" w:rsidP="00251FE2">
      <w:r>
        <w:rPr>
          <w:noProof/>
        </w:rPr>
        <w:drawing>
          <wp:inline distT="0" distB="0" distL="0" distR="0" wp14:anchorId="57F25DD6" wp14:editId="23DDE7A2">
            <wp:extent cx="5943600" cy="47338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33856"/>
                    </a:xfrm>
                    <a:prstGeom prst="rect">
                      <a:avLst/>
                    </a:prstGeom>
                    <a:noFill/>
                  </pic:spPr>
                </pic:pic>
              </a:graphicData>
            </a:graphic>
          </wp:inline>
        </w:drawing>
      </w:r>
    </w:p>
    <w:p w14:paraId="0C332368" w14:textId="299759AA" w:rsidR="000D706A" w:rsidRDefault="000D706A">
      <w:r>
        <w:br w:type="page"/>
      </w:r>
    </w:p>
    <w:p w14:paraId="6F93594D" w14:textId="77777777" w:rsidR="000D706A" w:rsidRPr="005E5491" w:rsidRDefault="000D706A" w:rsidP="000D706A">
      <w:pPr>
        <w:jc w:val="center"/>
        <w:rPr>
          <w:b/>
          <w:sz w:val="32"/>
          <w:szCs w:val="32"/>
        </w:rPr>
      </w:pPr>
      <w:r w:rsidRPr="005E5491">
        <w:rPr>
          <w:b/>
          <w:sz w:val="32"/>
          <w:szCs w:val="32"/>
        </w:rPr>
        <w:lastRenderedPageBreak/>
        <w:t>Sultana Disaster Museum’s</w:t>
      </w:r>
      <w:r>
        <w:rPr>
          <w:b/>
          <w:sz w:val="32"/>
          <w:szCs w:val="32"/>
        </w:rPr>
        <w:br/>
      </w:r>
      <w:r w:rsidRPr="005E5491">
        <w:rPr>
          <w:b/>
          <w:sz w:val="32"/>
          <w:szCs w:val="32"/>
        </w:rPr>
        <w:t xml:space="preserve">Economic Contributions to </w:t>
      </w:r>
      <w:r>
        <w:rPr>
          <w:b/>
          <w:sz w:val="32"/>
          <w:szCs w:val="32"/>
        </w:rPr>
        <w:t>the</w:t>
      </w:r>
      <w:r w:rsidRPr="005E5491">
        <w:rPr>
          <w:b/>
          <w:sz w:val="32"/>
          <w:szCs w:val="32"/>
        </w:rPr>
        <w:t xml:space="preserve"> Arkansas Economy  </w:t>
      </w:r>
    </w:p>
    <w:p w14:paraId="02D5CE52" w14:textId="77777777" w:rsidR="000D706A" w:rsidRDefault="000D706A" w:rsidP="000D706A">
      <w:pPr>
        <w:spacing w:after="0" w:line="240" w:lineRule="auto"/>
        <w:jc w:val="center"/>
        <w:rPr>
          <w:sz w:val="32"/>
          <w:szCs w:val="32"/>
        </w:rPr>
      </w:pPr>
    </w:p>
    <w:p w14:paraId="5F58D044" w14:textId="77777777" w:rsidR="000D706A" w:rsidRDefault="000D706A" w:rsidP="000D706A">
      <w:pPr>
        <w:spacing w:after="0" w:line="240" w:lineRule="auto"/>
        <w:rPr>
          <w:b/>
        </w:rPr>
      </w:pPr>
      <w:r>
        <w:rPr>
          <w:b/>
        </w:rPr>
        <w:t>Executive Summary</w:t>
      </w:r>
    </w:p>
    <w:p w14:paraId="6D3AAE8C" w14:textId="77777777" w:rsidR="000D706A" w:rsidRPr="008E3D3E" w:rsidRDefault="000D706A" w:rsidP="000D706A">
      <w:pPr>
        <w:spacing w:after="0" w:line="240" w:lineRule="auto"/>
        <w:rPr>
          <w:b/>
        </w:rPr>
      </w:pPr>
    </w:p>
    <w:p w14:paraId="7F472CA3" w14:textId="77777777" w:rsidR="000D706A" w:rsidRDefault="000D706A" w:rsidP="000D706A">
      <w:pPr>
        <w:spacing w:after="0" w:line="240" w:lineRule="auto"/>
      </w:pPr>
      <w:r>
        <w:t>The first section of this report summarizes findings from an economic contribution study of the visitor’s spending associated with their visit to the Sultana Disaster Museum (SDM) during 2018-2019 periods.  Activities include visitor’s expenditures for overnight stays, food, and shopping associated with a single day trip by local, non-local visitors, and overnight visits by domestic and international visitors.  This study did not take into account the distributional effects of the activities within the study area.</w:t>
      </w:r>
      <w:r>
        <w:rPr>
          <w:rStyle w:val="FootnoteReference"/>
        </w:rPr>
        <w:footnoteReference w:id="1"/>
      </w:r>
      <w:r>
        <w:t xml:space="preserve">    The second section of the report analyzes the economic contributions and economic impacts associated with 50,000 hypothetical visitors to the museum.  </w:t>
      </w:r>
    </w:p>
    <w:p w14:paraId="68886C1D" w14:textId="77777777" w:rsidR="000D706A" w:rsidRDefault="000D706A" w:rsidP="000D706A">
      <w:pPr>
        <w:spacing w:after="0" w:line="240" w:lineRule="auto"/>
      </w:pPr>
    </w:p>
    <w:p w14:paraId="54A87AF6" w14:textId="77777777" w:rsidR="000D706A" w:rsidRDefault="000D706A" w:rsidP="000D706A">
      <w:pPr>
        <w:spacing w:after="0" w:line="240" w:lineRule="auto"/>
      </w:pPr>
      <w:r>
        <w:t>The study utilized a multi-regional approach to gage the consequences of visitors’ expenditures.  Crittenden County is the primary region where museum visitors’ expenditures are assumed to occur.  The study estimates expenditures in Crittenden County by museum visitors, and then the spillover of economic activity into the rest of Arkansas.</w:t>
      </w:r>
      <w:r w:rsidRPr="00B60725">
        <w:rPr>
          <w:rStyle w:val="FootnoteReference"/>
        </w:rPr>
        <w:t xml:space="preserve"> </w:t>
      </w:r>
      <w:r>
        <w:rPr>
          <w:rStyle w:val="FootnoteReference"/>
        </w:rPr>
        <w:footnoteReference w:id="2"/>
      </w:r>
      <w:r>
        <w:t xml:space="preserve">  </w:t>
      </w:r>
    </w:p>
    <w:p w14:paraId="5E8214D2" w14:textId="77777777" w:rsidR="000D706A" w:rsidRDefault="000D706A" w:rsidP="000D706A">
      <w:pPr>
        <w:spacing w:after="0" w:line="240" w:lineRule="auto"/>
      </w:pPr>
    </w:p>
    <w:p w14:paraId="3F6593E1" w14:textId="77777777" w:rsidR="000D706A" w:rsidRDefault="000D706A" w:rsidP="000D706A">
      <w:pPr>
        <w:spacing w:after="0" w:line="240" w:lineRule="auto"/>
      </w:pPr>
      <w:r>
        <w:t>In 2019 there were 929 visitors to the Sultana Disaster Museum.  Their total annual spending in Crittenden County was estimated at $59,264.  A multi-region economic model was constructed to evaluate the economic contribution of this spending in the economy of Crittenden County and the rest of Arkansas’ economy.</w:t>
      </w:r>
      <w:r>
        <w:rPr>
          <w:rStyle w:val="FootnoteReference"/>
        </w:rPr>
        <w:footnoteReference w:id="3"/>
      </w:r>
      <w:r>
        <w:t xml:space="preserve">  This contribution analysis found that the visitors spending of $59,264 supported $182,687 of economic activity in Arkansas, added $88,655 to the state’s gross domestic product, generated $59,502 of wage and salary income, and supported 2.6 full time jobs.</w:t>
      </w:r>
    </w:p>
    <w:p w14:paraId="36E7058A" w14:textId="77777777" w:rsidR="000D706A" w:rsidRDefault="000D706A" w:rsidP="000D706A">
      <w:pPr>
        <w:spacing w:after="0" w:line="240" w:lineRule="auto"/>
      </w:pPr>
    </w:p>
    <w:p w14:paraId="57CC6110" w14:textId="3A4BD88E" w:rsidR="000D706A" w:rsidRDefault="000D706A" w:rsidP="000D706A">
      <w:pPr>
        <w:spacing w:after="0" w:line="240" w:lineRule="auto"/>
      </w:pPr>
      <w:r>
        <w:t xml:space="preserve">In the second part of this report, the study is extended to analyze economic impacts the 50,000 hypothetical visitors to the museum.  A contribution study and an economic impact study of the 50,000 hypothetical museum visitors were undertaken for comparative purposes.  The chief difference between a contribution study and an impact study is that the latter excluded local spending while the former includes all visitors’ expenditures. </w:t>
      </w:r>
    </w:p>
    <w:p w14:paraId="0ABFA352" w14:textId="74E92B32" w:rsidR="00E91EB0" w:rsidRDefault="00E91EB0" w:rsidP="000D706A">
      <w:pPr>
        <w:spacing w:after="0" w:line="240" w:lineRule="auto"/>
      </w:pPr>
    </w:p>
    <w:p w14:paraId="7FF8BD91" w14:textId="77777777" w:rsidR="00E91EB0" w:rsidRDefault="00E91EB0" w:rsidP="00E91EB0">
      <w:pPr>
        <w:spacing w:after="0" w:line="240" w:lineRule="auto"/>
      </w:pPr>
      <w:r>
        <w:t>The contribution analysis of 50,000 hypothetical visitors found that their spending in Crittenden County would approach $3.39 million.  This would create $6.9 million in economic activity in Arkansas, adding</w:t>
      </w:r>
      <w:r w:rsidRPr="00535860">
        <w:t xml:space="preserve"> </w:t>
      </w:r>
      <w:r>
        <w:t>$3.5 million to the state’s gross domestic product, generate $2.3 million of wage and salary incomes, and support 88.5 full time jobs.</w:t>
      </w:r>
    </w:p>
    <w:p w14:paraId="2E578B9A" w14:textId="77777777" w:rsidR="00694F5F" w:rsidRPr="00B32D26" w:rsidRDefault="00694F5F" w:rsidP="00694F5F">
      <w:pPr>
        <w:pStyle w:val="ListParagraph"/>
        <w:ind w:left="0"/>
      </w:pPr>
    </w:p>
    <w:sectPr w:rsidR="00694F5F" w:rsidRPr="00B32D26" w:rsidSect="000D706A">
      <w:footerReference w:type="defaul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4999" w14:textId="77777777" w:rsidR="008261E4" w:rsidRDefault="008261E4" w:rsidP="00143F58">
      <w:pPr>
        <w:spacing w:after="0" w:line="240" w:lineRule="auto"/>
      </w:pPr>
      <w:r>
        <w:separator/>
      </w:r>
    </w:p>
  </w:endnote>
  <w:endnote w:type="continuationSeparator" w:id="0">
    <w:p w14:paraId="360F9E00" w14:textId="77777777" w:rsidR="008261E4" w:rsidRDefault="008261E4" w:rsidP="0014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00327"/>
      <w:docPartObj>
        <w:docPartGallery w:val="Page Numbers (Bottom of Page)"/>
        <w:docPartUnique/>
      </w:docPartObj>
    </w:sdtPr>
    <w:sdtEndPr>
      <w:rPr>
        <w:noProof/>
      </w:rPr>
    </w:sdtEndPr>
    <w:sdtContent>
      <w:p w14:paraId="646CC400" w14:textId="77777777" w:rsidR="00143F58" w:rsidRDefault="00143F58">
        <w:pPr>
          <w:pStyle w:val="Footer"/>
          <w:jc w:val="center"/>
        </w:pPr>
        <w:r>
          <w:fldChar w:fldCharType="begin"/>
        </w:r>
        <w:r>
          <w:instrText xml:space="preserve"> PAGE   \* MERGEFORMAT </w:instrText>
        </w:r>
        <w:r>
          <w:fldChar w:fldCharType="separate"/>
        </w:r>
        <w:r w:rsidR="0028054D">
          <w:rPr>
            <w:noProof/>
          </w:rPr>
          <w:t>2</w:t>
        </w:r>
        <w:r>
          <w:rPr>
            <w:noProof/>
          </w:rPr>
          <w:fldChar w:fldCharType="end"/>
        </w:r>
      </w:p>
    </w:sdtContent>
  </w:sdt>
  <w:p w14:paraId="3BA8278A" w14:textId="77777777" w:rsidR="00143F58" w:rsidRDefault="0014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8B42" w14:textId="77777777" w:rsidR="008261E4" w:rsidRDefault="008261E4" w:rsidP="00143F58">
      <w:pPr>
        <w:spacing w:after="0" w:line="240" w:lineRule="auto"/>
      </w:pPr>
      <w:r>
        <w:separator/>
      </w:r>
    </w:p>
  </w:footnote>
  <w:footnote w:type="continuationSeparator" w:id="0">
    <w:p w14:paraId="4C84776A" w14:textId="77777777" w:rsidR="008261E4" w:rsidRDefault="008261E4" w:rsidP="00143F58">
      <w:pPr>
        <w:spacing w:after="0" w:line="240" w:lineRule="auto"/>
      </w:pPr>
      <w:r>
        <w:continuationSeparator/>
      </w:r>
    </w:p>
  </w:footnote>
  <w:footnote w:id="1">
    <w:p w14:paraId="181A565D" w14:textId="77777777" w:rsidR="000D706A" w:rsidRDefault="000D706A" w:rsidP="000D706A">
      <w:pPr>
        <w:pStyle w:val="FootnoteText"/>
      </w:pPr>
      <w:r>
        <w:rPr>
          <w:rStyle w:val="FootnoteReference"/>
        </w:rPr>
        <w:footnoteRef/>
      </w:r>
      <w:r>
        <w:t xml:space="preserve"> Distribution effects occur when activities associated with visits to the museum displace preexisting activities in the community. That is, there is a redistribution of economic activity from groups of activities not associated with the museum to activities associated with visiting the museum.  </w:t>
      </w:r>
    </w:p>
  </w:footnote>
  <w:footnote w:id="2">
    <w:p w14:paraId="456FFCD6" w14:textId="77777777" w:rsidR="000D706A" w:rsidRDefault="000D706A" w:rsidP="000D706A">
      <w:pPr>
        <w:pStyle w:val="FootnoteText"/>
      </w:pPr>
      <w:r>
        <w:rPr>
          <w:rStyle w:val="FootnoteReference"/>
        </w:rPr>
        <w:footnoteRef/>
      </w:r>
      <w:r>
        <w:t xml:space="preserve"> Museum visitors living less than 60 minutes from the museum are considered local visitors.  However, their activities at the museum are included in the analysis.  This inclusion of local visitors’ activities to those of other types of visitors to the museum means this is an economic contribution study instead of an economic impact study. </w:t>
      </w:r>
    </w:p>
  </w:footnote>
  <w:footnote w:id="3">
    <w:p w14:paraId="7443696B" w14:textId="36FEB7A0" w:rsidR="000D706A" w:rsidRDefault="000D706A" w:rsidP="000D706A">
      <w:pPr>
        <w:pStyle w:val="FootnoteText"/>
      </w:pPr>
      <w:r>
        <w:rPr>
          <w:rStyle w:val="FootnoteReference"/>
        </w:rPr>
        <w:footnoteRef/>
      </w:r>
      <w:r>
        <w:t xml:space="preserve">Implan Modeling Software and Arkansas Implan data for 2015 was used in this analysis.  For further information about this software and data refer to: www.Implan.com. </w:t>
      </w:r>
    </w:p>
    <w:p w14:paraId="64D73EDA" w14:textId="77777777" w:rsidR="000D706A" w:rsidRDefault="000D706A" w:rsidP="000D70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78A5"/>
    <w:multiLevelType w:val="hybridMultilevel"/>
    <w:tmpl w:val="4D06401C"/>
    <w:lvl w:ilvl="0" w:tplc="DDE88682">
      <w:start w:val="1"/>
      <w:numFmt w:val="upperRoman"/>
      <w:lvlText w:val="%1."/>
      <w:lvlJc w:val="left"/>
      <w:pPr>
        <w:ind w:left="81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26770"/>
    <w:multiLevelType w:val="hybridMultilevel"/>
    <w:tmpl w:val="F00457B0"/>
    <w:lvl w:ilvl="0" w:tplc="ECF28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45E08"/>
    <w:multiLevelType w:val="hybridMultilevel"/>
    <w:tmpl w:val="F00457B0"/>
    <w:lvl w:ilvl="0" w:tplc="ECF28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50547"/>
    <w:multiLevelType w:val="hybridMultilevel"/>
    <w:tmpl w:val="4D06401C"/>
    <w:lvl w:ilvl="0" w:tplc="DDE88682">
      <w:start w:val="1"/>
      <w:numFmt w:val="upperRoman"/>
      <w:lvlText w:val="%1."/>
      <w:lvlJc w:val="left"/>
      <w:pPr>
        <w:ind w:left="81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689625">
    <w:abstractNumId w:val="2"/>
  </w:num>
  <w:num w:numId="2" w16cid:durableId="1966033767">
    <w:abstractNumId w:val="1"/>
  </w:num>
  <w:num w:numId="3" w16cid:durableId="1477069053">
    <w:abstractNumId w:val="3"/>
  </w:num>
  <w:num w:numId="4" w16cid:durableId="15168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F"/>
    <w:rsid w:val="00033356"/>
    <w:rsid w:val="000441A8"/>
    <w:rsid w:val="00060AFB"/>
    <w:rsid w:val="00062E67"/>
    <w:rsid w:val="00081D1D"/>
    <w:rsid w:val="000936AC"/>
    <w:rsid w:val="000D706A"/>
    <w:rsid w:val="000F4C09"/>
    <w:rsid w:val="00143F58"/>
    <w:rsid w:val="00161FDC"/>
    <w:rsid w:val="001A2459"/>
    <w:rsid w:val="001C1CC0"/>
    <w:rsid w:val="001C4FDB"/>
    <w:rsid w:val="001D029C"/>
    <w:rsid w:val="00220907"/>
    <w:rsid w:val="002345A0"/>
    <w:rsid w:val="00241869"/>
    <w:rsid w:val="0024376C"/>
    <w:rsid w:val="00251FE2"/>
    <w:rsid w:val="00265815"/>
    <w:rsid w:val="0028054D"/>
    <w:rsid w:val="002811F1"/>
    <w:rsid w:val="0029040A"/>
    <w:rsid w:val="002D6C92"/>
    <w:rsid w:val="002E70F1"/>
    <w:rsid w:val="002F02FC"/>
    <w:rsid w:val="002F7B89"/>
    <w:rsid w:val="003024D7"/>
    <w:rsid w:val="00306D04"/>
    <w:rsid w:val="00325FB6"/>
    <w:rsid w:val="003324AD"/>
    <w:rsid w:val="003367FD"/>
    <w:rsid w:val="00351E69"/>
    <w:rsid w:val="00360C35"/>
    <w:rsid w:val="003627E5"/>
    <w:rsid w:val="0036355F"/>
    <w:rsid w:val="003A0252"/>
    <w:rsid w:val="003C380E"/>
    <w:rsid w:val="003C6EC1"/>
    <w:rsid w:val="003E1D1D"/>
    <w:rsid w:val="004055DC"/>
    <w:rsid w:val="00447967"/>
    <w:rsid w:val="00480BFF"/>
    <w:rsid w:val="00482674"/>
    <w:rsid w:val="00486038"/>
    <w:rsid w:val="00492E9C"/>
    <w:rsid w:val="004978D1"/>
    <w:rsid w:val="004D2058"/>
    <w:rsid w:val="00500F42"/>
    <w:rsid w:val="00535860"/>
    <w:rsid w:val="00544079"/>
    <w:rsid w:val="00552EF8"/>
    <w:rsid w:val="00573913"/>
    <w:rsid w:val="00590DD7"/>
    <w:rsid w:val="00597493"/>
    <w:rsid w:val="005D1D25"/>
    <w:rsid w:val="005E5491"/>
    <w:rsid w:val="00602B10"/>
    <w:rsid w:val="0062351A"/>
    <w:rsid w:val="006464E0"/>
    <w:rsid w:val="00655A9F"/>
    <w:rsid w:val="00664A94"/>
    <w:rsid w:val="00694F5F"/>
    <w:rsid w:val="006C7774"/>
    <w:rsid w:val="00733B9F"/>
    <w:rsid w:val="007704F1"/>
    <w:rsid w:val="00777D91"/>
    <w:rsid w:val="007B7E9F"/>
    <w:rsid w:val="007F7D28"/>
    <w:rsid w:val="008072BC"/>
    <w:rsid w:val="0081340E"/>
    <w:rsid w:val="008261E4"/>
    <w:rsid w:val="00833439"/>
    <w:rsid w:val="00845D14"/>
    <w:rsid w:val="00861EE9"/>
    <w:rsid w:val="008C3856"/>
    <w:rsid w:val="008D1738"/>
    <w:rsid w:val="008D1FBA"/>
    <w:rsid w:val="008E150F"/>
    <w:rsid w:val="00906BA8"/>
    <w:rsid w:val="00933DBF"/>
    <w:rsid w:val="0094681A"/>
    <w:rsid w:val="00957387"/>
    <w:rsid w:val="00981A70"/>
    <w:rsid w:val="009903AC"/>
    <w:rsid w:val="00990F17"/>
    <w:rsid w:val="009979E5"/>
    <w:rsid w:val="009D091D"/>
    <w:rsid w:val="00A206AF"/>
    <w:rsid w:val="00A50E2A"/>
    <w:rsid w:val="00A840DE"/>
    <w:rsid w:val="00A879C5"/>
    <w:rsid w:val="00A90FCC"/>
    <w:rsid w:val="00AB021A"/>
    <w:rsid w:val="00B160FA"/>
    <w:rsid w:val="00B1744D"/>
    <w:rsid w:val="00B32D26"/>
    <w:rsid w:val="00B35985"/>
    <w:rsid w:val="00B60725"/>
    <w:rsid w:val="00B77864"/>
    <w:rsid w:val="00B86138"/>
    <w:rsid w:val="00BA08A2"/>
    <w:rsid w:val="00BA1236"/>
    <w:rsid w:val="00BA1B07"/>
    <w:rsid w:val="00BB4279"/>
    <w:rsid w:val="00C16E6E"/>
    <w:rsid w:val="00C33585"/>
    <w:rsid w:val="00C51AF7"/>
    <w:rsid w:val="00C62456"/>
    <w:rsid w:val="00C75E7D"/>
    <w:rsid w:val="00CC3DF2"/>
    <w:rsid w:val="00CD5657"/>
    <w:rsid w:val="00CF0844"/>
    <w:rsid w:val="00CF769E"/>
    <w:rsid w:val="00D00FE0"/>
    <w:rsid w:val="00D015DE"/>
    <w:rsid w:val="00D441FC"/>
    <w:rsid w:val="00D81A31"/>
    <w:rsid w:val="00D91E71"/>
    <w:rsid w:val="00D97A28"/>
    <w:rsid w:val="00DD4502"/>
    <w:rsid w:val="00DE6823"/>
    <w:rsid w:val="00E91EB0"/>
    <w:rsid w:val="00EB43F9"/>
    <w:rsid w:val="00ED11F5"/>
    <w:rsid w:val="00ED5E5C"/>
    <w:rsid w:val="00F00293"/>
    <w:rsid w:val="00F20A09"/>
    <w:rsid w:val="00F240C8"/>
    <w:rsid w:val="00F360F4"/>
    <w:rsid w:val="00F42E6B"/>
    <w:rsid w:val="00F46D98"/>
    <w:rsid w:val="00F53620"/>
    <w:rsid w:val="00F96369"/>
    <w:rsid w:val="00F9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8738"/>
  <w15:docId w15:val="{B16F8C34-CCCA-4394-9987-370ECECD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AF"/>
    <w:rPr>
      <w:rFonts w:ascii="Tahoma" w:hAnsi="Tahoma" w:cs="Tahoma"/>
      <w:sz w:val="16"/>
      <w:szCs w:val="16"/>
    </w:rPr>
  </w:style>
  <w:style w:type="paragraph" w:styleId="ListParagraph">
    <w:name w:val="List Paragraph"/>
    <w:basedOn w:val="Normal"/>
    <w:uiPriority w:val="34"/>
    <w:qFormat/>
    <w:rsid w:val="001A2459"/>
    <w:pPr>
      <w:ind w:left="720"/>
      <w:contextualSpacing/>
    </w:pPr>
  </w:style>
  <w:style w:type="paragraph" w:styleId="Header">
    <w:name w:val="header"/>
    <w:basedOn w:val="Normal"/>
    <w:link w:val="HeaderChar"/>
    <w:uiPriority w:val="99"/>
    <w:unhideWhenUsed/>
    <w:rsid w:val="00143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58"/>
  </w:style>
  <w:style w:type="paragraph" w:styleId="Footer">
    <w:name w:val="footer"/>
    <w:basedOn w:val="Normal"/>
    <w:link w:val="FooterChar"/>
    <w:uiPriority w:val="99"/>
    <w:unhideWhenUsed/>
    <w:rsid w:val="0014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58"/>
  </w:style>
  <w:style w:type="paragraph" w:styleId="FootnoteText">
    <w:name w:val="footnote text"/>
    <w:basedOn w:val="Normal"/>
    <w:link w:val="FootnoteTextChar"/>
    <w:uiPriority w:val="99"/>
    <w:semiHidden/>
    <w:unhideWhenUsed/>
    <w:rsid w:val="00BA0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8A2"/>
    <w:rPr>
      <w:sz w:val="20"/>
      <w:szCs w:val="20"/>
    </w:rPr>
  </w:style>
  <w:style w:type="character" w:styleId="FootnoteReference">
    <w:name w:val="footnote reference"/>
    <w:basedOn w:val="DefaultParagraphFont"/>
    <w:uiPriority w:val="99"/>
    <w:semiHidden/>
    <w:unhideWhenUsed/>
    <w:rsid w:val="00BA0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375">
      <w:bodyDiv w:val="1"/>
      <w:marLeft w:val="0"/>
      <w:marRight w:val="0"/>
      <w:marTop w:val="0"/>
      <w:marBottom w:val="0"/>
      <w:divBdr>
        <w:top w:val="none" w:sz="0" w:space="0" w:color="auto"/>
        <w:left w:val="none" w:sz="0" w:space="0" w:color="auto"/>
        <w:bottom w:val="none" w:sz="0" w:space="0" w:color="auto"/>
        <w:right w:val="none" w:sz="0" w:space="0" w:color="auto"/>
      </w:divBdr>
    </w:div>
    <w:div w:id="188836490">
      <w:bodyDiv w:val="1"/>
      <w:marLeft w:val="0"/>
      <w:marRight w:val="0"/>
      <w:marTop w:val="0"/>
      <w:marBottom w:val="0"/>
      <w:divBdr>
        <w:top w:val="none" w:sz="0" w:space="0" w:color="auto"/>
        <w:left w:val="none" w:sz="0" w:space="0" w:color="auto"/>
        <w:bottom w:val="none" w:sz="0" w:space="0" w:color="auto"/>
        <w:right w:val="none" w:sz="0" w:space="0" w:color="auto"/>
      </w:divBdr>
    </w:div>
    <w:div w:id="471291226">
      <w:bodyDiv w:val="1"/>
      <w:marLeft w:val="0"/>
      <w:marRight w:val="0"/>
      <w:marTop w:val="0"/>
      <w:marBottom w:val="0"/>
      <w:divBdr>
        <w:top w:val="none" w:sz="0" w:space="0" w:color="auto"/>
        <w:left w:val="none" w:sz="0" w:space="0" w:color="auto"/>
        <w:bottom w:val="none" w:sz="0" w:space="0" w:color="auto"/>
        <w:right w:val="none" w:sz="0" w:space="0" w:color="auto"/>
      </w:divBdr>
    </w:div>
    <w:div w:id="476461140">
      <w:bodyDiv w:val="1"/>
      <w:marLeft w:val="0"/>
      <w:marRight w:val="0"/>
      <w:marTop w:val="0"/>
      <w:marBottom w:val="0"/>
      <w:divBdr>
        <w:top w:val="none" w:sz="0" w:space="0" w:color="auto"/>
        <w:left w:val="none" w:sz="0" w:space="0" w:color="auto"/>
        <w:bottom w:val="none" w:sz="0" w:space="0" w:color="auto"/>
        <w:right w:val="none" w:sz="0" w:space="0" w:color="auto"/>
      </w:divBdr>
    </w:div>
    <w:div w:id="553810577">
      <w:bodyDiv w:val="1"/>
      <w:marLeft w:val="0"/>
      <w:marRight w:val="0"/>
      <w:marTop w:val="0"/>
      <w:marBottom w:val="0"/>
      <w:divBdr>
        <w:top w:val="none" w:sz="0" w:space="0" w:color="auto"/>
        <w:left w:val="none" w:sz="0" w:space="0" w:color="auto"/>
        <w:bottom w:val="none" w:sz="0" w:space="0" w:color="auto"/>
        <w:right w:val="none" w:sz="0" w:space="0" w:color="auto"/>
      </w:divBdr>
    </w:div>
    <w:div w:id="638539723">
      <w:bodyDiv w:val="1"/>
      <w:marLeft w:val="0"/>
      <w:marRight w:val="0"/>
      <w:marTop w:val="0"/>
      <w:marBottom w:val="0"/>
      <w:divBdr>
        <w:top w:val="none" w:sz="0" w:space="0" w:color="auto"/>
        <w:left w:val="none" w:sz="0" w:space="0" w:color="auto"/>
        <w:bottom w:val="none" w:sz="0" w:space="0" w:color="auto"/>
        <w:right w:val="none" w:sz="0" w:space="0" w:color="auto"/>
      </w:divBdr>
    </w:div>
    <w:div w:id="801077567">
      <w:bodyDiv w:val="1"/>
      <w:marLeft w:val="0"/>
      <w:marRight w:val="0"/>
      <w:marTop w:val="0"/>
      <w:marBottom w:val="0"/>
      <w:divBdr>
        <w:top w:val="none" w:sz="0" w:space="0" w:color="auto"/>
        <w:left w:val="none" w:sz="0" w:space="0" w:color="auto"/>
        <w:bottom w:val="none" w:sz="0" w:space="0" w:color="auto"/>
        <w:right w:val="none" w:sz="0" w:space="0" w:color="auto"/>
      </w:divBdr>
    </w:div>
    <w:div w:id="850871757">
      <w:bodyDiv w:val="1"/>
      <w:marLeft w:val="0"/>
      <w:marRight w:val="0"/>
      <w:marTop w:val="0"/>
      <w:marBottom w:val="0"/>
      <w:divBdr>
        <w:top w:val="none" w:sz="0" w:space="0" w:color="auto"/>
        <w:left w:val="none" w:sz="0" w:space="0" w:color="auto"/>
        <w:bottom w:val="none" w:sz="0" w:space="0" w:color="auto"/>
        <w:right w:val="none" w:sz="0" w:space="0" w:color="auto"/>
      </w:divBdr>
    </w:div>
    <w:div w:id="1067454323">
      <w:bodyDiv w:val="1"/>
      <w:marLeft w:val="0"/>
      <w:marRight w:val="0"/>
      <w:marTop w:val="0"/>
      <w:marBottom w:val="0"/>
      <w:divBdr>
        <w:top w:val="none" w:sz="0" w:space="0" w:color="auto"/>
        <w:left w:val="none" w:sz="0" w:space="0" w:color="auto"/>
        <w:bottom w:val="none" w:sz="0" w:space="0" w:color="auto"/>
        <w:right w:val="none" w:sz="0" w:space="0" w:color="auto"/>
      </w:divBdr>
    </w:div>
    <w:div w:id="1075476841">
      <w:bodyDiv w:val="1"/>
      <w:marLeft w:val="0"/>
      <w:marRight w:val="0"/>
      <w:marTop w:val="0"/>
      <w:marBottom w:val="0"/>
      <w:divBdr>
        <w:top w:val="none" w:sz="0" w:space="0" w:color="auto"/>
        <w:left w:val="none" w:sz="0" w:space="0" w:color="auto"/>
        <w:bottom w:val="none" w:sz="0" w:space="0" w:color="auto"/>
        <w:right w:val="none" w:sz="0" w:space="0" w:color="auto"/>
      </w:divBdr>
    </w:div>
    <w:div w:id="1098451158">
      <w:bodyDiv w:val="1"/>
      <w:marLeft w:val="0"/>
      <w:marRight w:val="0"/>
      <w:marTop w:val="0"/>
      <w:marBottom w:val="0"/>
      <w:divBdr>
        <w:top w:val="none" w:sz="0" w:space="0" w:color="auto"/>
        <w:left w:val="none" w:sz="0" w:space="0" w:color="auto"/>
        <w:bottom w:val="none" w:sz="0" w:space="0" w:color="auto"/>
        <w:right w:val="none" w:sz="0" w:space="0" w:color="auto"/>
      </w:divBdr>
    </w:div>
    <w:div w:id="1174536436">
      <w:bodyDiv w:val="1"/>
      <w:marLeft w:val="0"/>
      <w:marRight w:val="0"/>
      <w:marTop w:val="0"/>
      <w:marBottom w:val="0"/>
      <w:divBdr>
        <w:top w:val="none" w:sz="0" w:space="0" w:color="auto"/>
        <w:left w:val="none" w:sz="0" w:space="0" w:color="auto"/>
        <w:bottom w:val="none" w:sz="0" w:space="0" w:color="auto"/>
        <w:right w:val="none" w:sz="0" w:space="0" w:color="auto"/>
      </w:divBdr>
    </w:div>
    <w:div w:id="1533377028">
      <w:bodyDiv w:val="1"/>
      <w:marLeft w:val="0"/>
      <w:marRight w:val="0"/>
      <w:marTop w:val="0"/>
      <w:marBottom w:val="0"/>
      <w:divBdr>
        <w:top w:val="none" w:sz="0" w:space="0" w:color="auto"/>
        <w:left w:val="none" w:sz="0" w:space="0" w:color="auto"/>
        <w:bottom w:val="none" w:sz="0" w:space="0" w:color="auto"/>
        <w:right w:val="none" w:sz="0" w:space="0" w:color="auto"/>
      </w:divBdr>
    </w:div>
    <w:div w:id="1637684030">
      <w:bodyDiv w:val="1"/>
      <w:marLeft w:val="0"/>
      <w:marRight w:val="0"/>
      <w:marTop w:val="0"/>
      <w:marBottom w:val="0"/>
      <w:divBdr>
        <w:top w:val="none" w:sz="0" w:space="0" w:color="auto"/>
        <w:left w:val="none" w:sz="0" w:space="0" w:color="auto"/>
        <w:bottom w:val="none" w:sz="0" w:space="0" w:color="auto"/>
        <w:right w:val="none" w:sz="0" w:space="0" w:color="auto"/>
      </w:divBdr>
    </w:div>
    <w:div w:id="1811826532">
      <w:bodyDiv w:val="1"/>
      <w:marLeft w:val="0"/>
      <w:marRight w:val="0"/>
      <w:marTop w:val="0"/>
      <w:marBottom w:val="0"/>
      <w:divBdr>
        <w:top w:val="none" w:sz="0" w:space="0" w:color="auto"/>
        <w:left w:val="none" w:sz="0" w:space="0" w:color="auto"/>
        <w:bottom w:val="none" w:sz="0" w:space="0" w:color="auto"/>
        <w:right w:val="none" w:sz="0" w:space="0" w:color="auto"/>
      </w:divBdr>
    </w:div>
    <w:div w:id="1947543472">
      <w:bodyDiv w:val="1"/>
      <w:marLeft w:val="0"/>
      <w:marRight w:val="0"/>
      <w:marTop w:val="0"/>
      <w:marBottom w:val="0"/>
      <w:divBdr>
        <w:top w:val="none" w:sz="0" w:space="0" w:color="auto"/>
        <w:left w:val="none" w:sz="0" w:space="0" w:color="auto"/>
        <w:bottom w:val="none" w:sz="0" w:space="0" w:color="auto"/>
        <w:right w:val="none" w:sz="0" w:space="0" w:color="auto"/>
      </w:divBdr>
    </w:div>
    <w:div w:id="19571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1A6A-E23C-4670-B320-F1A7BE72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CMStorm</dc:creator>
  <cp:lastModifiedBy>John Fogleman</cp:lastModifiedBy>
  <cp:revision>2</cp:revision>
  <cp:lastPrinted>2021-01-28T15:15:00Z</cp:lastPrinted>
  <dcterms:created xsi:type="dcterms:W3CDTF">2023-02-21T20:02:00Z</dcterms:created>
  <dcterms:modified xsi:type="dcterms:W3CDTF">2023-02-21T20:02:00Z</dcterms:modified>
</cp:coreProperties>
</file>